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01AA0FBA" w:rsidR="001D3E6A" w:rsidRDefault="001357A7" w:rsidP="009A4FCE">
      <w:pPr>
        <w:pStyle w:val="Titolo"/>
        <w:numPr>
          <w:ilvl w:val="0"/>
          <w:numId w:val="0"/>
        </w:numPr>
        <w:jc w:val="left"/>
        <w:rPr>
          <w:rFonts w:ascii="Titillium" w:eastAsia="Titillium" w:hAnsi="Titillium" w:cs="Titillium"/>
          <w:sz w:val="20"/>
          <w:szCs w:val="20"/>
        </w:rPr>
      </w:pPr>
      <w:r>
        <w:rPr>
          <w:rFonts w:ascii="Titillium" w:eastAsia="Titillium" w:hAnsi="Titillium" w:cs="Titillium"/>
          <w:sz w:val="20"/>
          <w:szCs w:val="20"/>
        </w:rPr>
        <w:t>Scheda di sintesi sulla rilevazione degli OIV o organismi con funzioni analoghe</w:t>
      </w:r>
    </w:p>
    <w:p w14:paraId="00000003" w14:textId="77777777" w:rsidR="001D3E6A" w:rsidRDefault="001357A7">
      <w:pPr>
        <w:pBdr>
          <w:between w:val="nil"/>
        </w:pBdr>
        <w:spacing w:line="360" w:lineRule="auto"/>
        <w:rPr>
          <w:rFonts w:ascii="Titillium" w:eastAsia="Titillium" w:hAnsi="Titillium" w:cs="Titillium"/>
          <w:b/>
          <w:i/>
          <w:color w:val="000000"/>
          <w:sz w:val="20"/>
          <w:szCs w:val="20"/>
        </w:rPr>
      </w:pPr>
      <w:r>
        <w:rPr>
          <w:rFonts w:ascii="Titillium" w:eastAsia="Titillium" w:hAnsi="Titillium" w:cs="Titillium"/>
          <w:b/>
          <w:i/>
          <w:color w:val="000000"/>
          <w:sz w:val="20"/>
          <w:szCs w:val="20"/>
        </w:rPr>
        <w:t>Data di svolgimento della rilevazione</w:t>
      </w:r>
    </w:p>
    <w:p w14:paraId="00000004" w14:textId="77777777" w:rsidR="001D3E6A" w:rsidRDefault="001357A7">
      <w:pPr>
        <w:pBdr>
          <w:between w:val="nil"/>
        </w:pBdr>
        <w:spacing w:line="276" w:lineRule="auto"/>
        <w:rPr>
          <w:rFonts w:ascii="Titillium" w:eastAsia="Titillium" w:hAnsi="Titillium" w:cs="Titillium"/>
          <w:color w:val="000000"/>
          <w:sz w:val="20"/>
          <w:szCs w:val="20"/>
          <w:u w:val="single"/>
        </w:rPr>
      </w:pPr>
      <w:r>
        <w:rPr>
          <w:rFonts w:ascii="Titillium" w:eastAsia="Titillium" w:hAnsi="Titillium" w:cs="Titillium"/>
          <w:color w:val="000000"/>
          <w:sz w:val="20"/>
          <w:szCs w:val="20"/>
        </w:rPr>
        <w:t xml:space="preserve">La rilevazione sull’assolvimento degli obblighi di pubblicazione è stata svolta tra il giorno 24/05/2021 e il giorno 26/05/2021. </w:t>
      </w:r>
    </w:p>
    <w:p w14:paraId="00000005" w14:textId="77777777" w:rsidR="001D3E6A" w:rsidRDefault="001D3E6A">
      <w:pPr>
        <w:pBdr>
          <w:between w:val="nil"/>
        </w:pBdr>
        <w:spacing w:line="276" w:lineRule="auto"/>
        <w:rPr>
          <w:rFonts w:ascii="Titillium" w:eastAsia="Titillium" w:hAnsi="Titillium" w:cs="Titillium"/>
          <w:color w:val="000000"/>
          <w:sz w:val="20"/>
          <w:szCs w:val="20"/>
        </w:rPr>
      </w:pPr>
    </w:p>
    <w:p w14:paraId="00000006" w14:textId="77777777" w:rsidR="001D3E6A" w:rsidRDefault="001357A7">
      <w:pPr>
        <w:pBdr>
          <w:between w:val="nil"/>
        </w:pBdr>
        <w:spacing w:after="0" w:line="276" w:lineRule="auto"/>
        <w:rPr>
          <w:rFonts w:ascii="Titillium" w:eastAsia="Titillium" w:hAnsi="Titillium" w:cs="Titillium"/>
          <w:b/>
          <w:i/>
          <w:color w:val="000000"/>
          <w:sz w:val="20"/>
          <w:szCs w:val="20"/>
        </w:rPr>
      </w:pPr>
      <w:r>
        <w:rPr>
          <w:rFonts w:ascii="Titillium" w:eastAsia="Titillium" w:hAnsi="Titillium" w:cs="Titillium"/>
          <w:b/>
          <w:i/>
          <w:color w:val="000000"/>
          <w:sz w:val="20"/>
          <w:szCs w:val="20"/>
        </w:rPr>
        <w:t>Estensione della rilevazione (nel solo caso di amministrazioni/enti con uffici periferici)</w:t>
      </w:r>
    </w:p>
    <w:p w14:paraId="00000007" w14:textId="77777777" w:rsidR="001D3E6A" w:rsidRDefault="001D3E6A">
      <w:pPr>
        <w:pBdr>
          <w:between w:val="nil"/>
        </w:pBdr>
        <w:spacing w:after="0" w:line="276" w:lineRule="auto"/>
        <w:rPr>
          <w:rFonts w:ascii="Titillium" w:eastAsia="Titillium" w:hAnsi="Titillium" w:cs="Titillium"/>
          <w:b/>
          <w:color w:val="000000"/>
          <w:sz w:val="20"/>
          <w:szCs w:val="20"/>
          <w:u w:val="single"/>
        </w:rPr>
      </w:pPr>
    </w:p>
    <w:p w14:paraId="00000008" w14:textId="0BDAA4AA" w:rsidR="001D3E6A" w:rsidRDefault="001357A7">
      <w:pPr>
        <w:tabs>
          <w:tab w:val="left" w:pos="0"/>
        </w:tabs>
        <w:spacing w:after="0" w:line="360" w:lineRule="auto"/>
        <w:rPr>
          <w:rFonts w:ascii="Titillium" w:eastAsia="Titillium" w:hAnsi="Titillium" w:cs="Titillium"/>
          <w:sz w:val="20"/>
          <w:szCs w:val="20"/>
        </w:rPr>
      </w:pPr>
      <w:r>
        <w:rPr>
          <w:rFonts w:ascii="Titillium" w:eastAsia="Titillium" w:hAnsi="Titillium" w:cs="Titillium"/>
          <w:sz w:val="20"/>
          <w:szCs w:val="20"/>
        </w:rPr>
        <w:t>Non sono presenti uffici periferi</w:t>
      </w:r>
      <w:r>
        <w:rPr>
          <w:rFonts w:ascii="Titillium" w:eastAsia="Titillium" w:hAnsi="Titillium" w:cs="Titillium"/>
          <w:sz w:val="20"/>
          <w:szCs w:val="20"/>
        </w:rPr>
        <w:t>ci</w:t>
      </w:r>
      <w:r w:rsidR="009A4FCE">
        <w:rPr>
          <w:rFonts w:ascii="Titillium" w:eastAsia="Titillium" w:hAnsi="Titillium" w:cs="Titillium"/>
          <w:sz w:val="20"/>
          <w:szCs w:val="20"/>
        </w:rPr>
        <w:t>.</w:t>
      </w:r>
      <w:r>
        <w:rPr>
          <w:rFonts w:ascii="Titillium" w:eastAsia="Titillium" w:hAnsi="Titillium" w:cs="Titillium"/>
          <w:sz w:val="20"/>
          <w:szCs w:val="20"/>
        </w:rPr>
        <w:t xml:space="preserve"> </w:t>
      </w:r>
    </w:p>
    <w:p w14:paraId="00000009" w14:textId="77777777" w:rsidR="001D3E6A" w:rsidRDefault="001D3E6A">
      <w:pPr>
        <w:pBdr>
          <w:between w:val="nil"/>
        </w:pBdr>
        <w:spacing w:after="0" w:line="276" w:lineRule="auto"/>
        <w:ind w:left="720"/>
        <w:rPr>
          <w:rFonts w:ascii="Titillium" w:eastAsia="Titillium" w:hAnsi="Titillium" w:cs="Titillium"/>
          <w:color w:val="000000"/>
          <w:sz w:val="20"/>
          <w:szCs w:val="20"/>
        </w:rPr>
      </w:pPr>
    </w:p>
    <w:p w14:paraId="0000000A" w14:textId="77777777" w:rsidR="001D3E6A" w:rsidRDefault="001357A7">
      <w:pPr>
        <w:pBdr>
          <w:between w:val="nil"/>
        </w:pBdr>
        <w:spacing w:line="360" w:lineRule="auto"/>
        <w:rPr>
          <w:rFonts w:ascii="Titillium" w:eastAsia="Titillium" w:hAnsi="Titillium" w:cs="Titillium"/>
          <w:b/>
          <w:i/>
          <w:color w:val="000000"/>
          <w:sz w:val="20"/>
          <w:szCs w:val="20"/>
        </w:rPr>
      </w:pPr>
      <w:r>
        <w:rPr>
          <w:rFonts w:ascii="Titillium" w:eastAsia="Titillium" w:hAnsi="Titillium" w:cs="Titillium"/>
          <w:b/>
          <w:i/>
          <w:color w:val="000000"/>
          <w:sz w:val="20"/>
          <w:szCs w:val="20"/>
        </w:rPr>
        <w:t xml:space="preserve">Procedure e modalità seguite per la rilevazione </w:t>
      </w:r>
    </w:p>
    <w:p w14:paraId="0000000B" w14:textId="77777777" w:rsidR="001D3E6A" w:rsidRDefault="001357A7">
      <w:pPr>
        <w:pBdr>
          <w:between w:val="nil"/>
        </w:pBdr>
        <w:spacing w:after="0" w:line="276" w:lineRule="auto"/>
        <w:rPr>
          <w:rFonts w:ascii="Titillium" w:eastAsia="Titillium" w:hAnsi="Titillium" w:cs="Titillium"/>
          <w:color w:val="000000"/>
          <w:sz w:val="20"/>
          <w:szCs w:val="20"/>
        </w:rPr>
      </w:pPr>
      <w:r>
        <w:rPr>
          <w:rFonts w:ascii="Titillium" w:eastAsia="Titillium" w:hAnsi="Titillium" w:cs="Titillium"/>
          <w:color w:val="000000"/>
          <w:sz w:val="20"/>
          <w:szCs w:val="20"/>
        </w:rPr>
        <w:t>L’organismo con funzioni analoghe all’OIV (Responsabile della Prevenzione della Corruzione e della Trasparenza) di Azienda Speciale Multiservizi Pandino ha proceduto alla rilevazione, effettuando una ve</w:t>
      </w:r>
      <w:r>
        <w:rPr>
          <w:rFonts w:ascii="Titillium" w:eastAsia="Titillium" w:hAnsi="Titillium" w:cs="Titillium"/>
          <w:color w:val="000000"/>
          <w:sz w:val="20"/>
          <w:szCs w:val="20"/>
        </w:rPr>
        <w:t>rifica diretta sul sito istituzionale, nonché sulla documentazione relativa ai dati oggetto di attestazione. In secondo luogo, si è confrontato con i referenti interni per la trasparenza.</w:t>
      </w:r>
    </w:p>
    <w:p w14:paraId="0000000C" w14:textId="77777777" w:rsidR="001D3E6A" w:rsidRDefault="001D3E6A">
      <w:pPr>
        <w:spacing w:line="360" w:lineRule="auto"/>
        <w:rPr>
          <w:rFonts w:ascii="Titillium" w:eastAsia="Titillium" w:hAnsi="Titillium" w:cs="Titillium"/>
          <w:sz w:val="20"/>
          <w:szCs w:val="20"/>
          <w:u w:val="single"/>
        </w:rPr>
      </w:pPr>
    </w:p>
    <w:p w14:paraId="0000000D" w14:textId="77777777" w:rsidR="001D3E6A" w:rsidRDefault="001357A7">
      <w:pPr>
        <w:spacing w:line="360" w:lineRule="auto"/>
        <w:rPr>
          <w:rFonts w:ascii="Titillium" w:eastAsia="Titillium" w:hAnsi="Titillium" w:cs="Titillium"/>
          <w:b/>
          <w:i/>
          <w:sz w:val="20"/>
          <w:szCs w:val="20"/>
        </w:rPr>
      </w:pPr>
      <w:r>
        <w:rPr>
          <w:rFonts w:ascii="Titillium" w:eastAsia="Titillium" w:hAnsi="Titillium" w:cs="Titillium"/>
          <w:b/>
          <w:i/>
          <w:sz w:val="20"/>
          <w:szCs w:val="20"/>
        </w:rPr>
        <w:t>Aspetti critici riscontrati nel corso della rilevazione</w:t>
      </w:r>
    </w:p>
    <w:p w14:paraId="0000000E" w14:textId="77777777" w:rsidR="001D3E6A" w:rsidRDefault="001357A7">
      <w:pPr>
        <w:spacing w:line="360" w:lineRule="auto"/>
        <w:rPr>
          <w:rFonts w:ascii="Titillium" w:eastAsia="Titillium" w:hAnsi="Titillium" w:cs="Titillium"/>
          <w:sz w:val="20"/>
          <w:szCs w:val="20"/>
        </w:rPr>
      </w:pPr>
      <w:r>
        <w:rPr>
          <w:rFonts w:ascii="Titillium" w:eastAsia="Titillium" w:hAnsi="Titillium" w:cs="Titillium"/>
          <w:sz w:val="20"/>
          <w:szCs w:val="20"/>
        </w:rPr>
        <w:t>Non si rilevano criticità in fase di rilevazione da parte dell’RPCT.</w:t>
      </w:r>
    </w:p>
    <w:p w14:paraId="00000010" w14:textId="77777777" w:rsidR="001D3E6A" w:rsidRDefault="001357A7">
      <w:pPr>
        <w:spacing w:line="360" w:lineRule="auto"/>
        <w:rPr>
          <w:rFonts w:ascii="Titillium" w:eastAsia="Titillium" w:hAnsi="Titillium" w:cs="Titillium"/>
          <w:b/>
          <w:i/>
          <w:sz w:val="20"/>
          <w:szCs w:val="20"/>
        </w:rPr>
      </w:pPr>
      <w:r>
        <w:rPr>
          <w:rFonts w:ascii="Titillium" w:eastAsia="Titillium" w:hAnsi="Titillium" w:cs="Titillium"/>
          <w:b/>
          <w:i/>
          <w:sz w:val="20"/>
          <w:szCs w:val="20"/>
        </w:rPr>
        <w:t>Eventuale documentazione da allegare</w:t>
      </w:r>
    </w:p>
    <w:p w14:paraId="00000011" w14:textId="77777777" w:rsidR="001D3E6A" w:rsidRDefault="001357A7">
      <w:pPr>
        <w:spacing w:line="360" w:lineRule="auto"/>
        <w:rPr>
          <w:rFonts w:ascii="Titillium" w:eastAsia="Titillium" w:hAnsi="Titillium" w:cs="Titillium"/>
          <w:sz w:val="20"/>
          <w:szCs w:val="20"/>
        </w:rPr>
      </w:pPr>
      <w:r>
        <w:rPr>
          <w:rFonts w:ascii="Titillium" w:eastAsia="Titillium" w:hAnsi="Titillium" w:cs="Titillium"/>
          <w:sz w:val="20"/>
          <w:szCs w:val="20"/>
        </w:rPr>
        <w:t>Nessun documento da allegare.</w:t>
      </w:r>
    </w:p>
    <w:p w14:paraId="00000012" w14:textId="77777777" w:rsidR="001D3E6A" w:rsidRDefault="001D3E6A">
      <w:pPr>
        <w:spacing w:line="360" w:lineRule="auto"/>
        <w:rPr>
          <w:rFonts w:ascii="Titillium" w:eastAsia="Titillium" w:hAnsi="Titillium" w:cs="Titillium"/>
          <w:b/>
          <w:i/>
          <w:sz w:val="20"/>
          <w:szCs w:val="20"/>
        </w:rPr>
      </w:pPr>
    </w:p>
    <w:sectPr w:rsidR="001D3E6A">
      <w:headerReference w:type="default" r:id="rId8"/>
      <w:pgSz w:w="11906" w:h="16838"/>
      <w:pgMar w:top="1417" w:right="1134" w:bottom="708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2E3AC1" w14:textId="77777777" w:rsidR="001357A7" w:rsidRDefault="001357A7">
      <w:pPr>
        <w:spacing w:after="0" w:line="240" w:lineRule="auto"/>
      </w:pPr>
      <w:r>
        <w:separator/>
      </w:r>
    </w:p>
  </w:endnote>
  <w:endnote w:type="continuationSeparator" w:id="0">
    <w:p w14:paraId="1BEFC3D6" w14:textId="77777777" w:rsidR="001357A7" w:rsidRDefault="0013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E3463" w14:textId="77777777" w:rsidR="001357A7" w:rsidRDefault="001357A7">
      <w:pPr>
        <w:spacing w:after="0" w:line="240" w:lineRule="auto"/>
      </w:pPr>
      <w:r>
        <w:separator/>
      </w:r>
    </w:p>
  </w:footnote>
  <w:footnote w:type="continuationSeparator" w:id="0">
    <w:p w14:paraId="0B6B1DED" w14:textId="77777777" w:rsidR="001357A7" w:rsidRDefault="00135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3" w14:textId="77777777" w:rsidR="001D3E6A" w:rsidRDefault="001357A7">
    <w:pPr>
      <w:pBdr>
        <w:between w:val="nil"/>
      </w:pBdr>
      <w:tabs>
        <w:tab w:val="center" w:pos="4819"/>
        <w:tab w:val="right" w:pos="9638"/>
      </w:tabs>
      <w:spacing w:after="0" w:line="276" w:lineRule="auto"/>
      <w:jc w:val="right"/>
      <w:rPr>
        <w:rFonts w:ascii="Garamond" w:eastAsia="Garamond" w:hAnsi="Garamond" w:cs="Garamond"/>
        <w:b/>
        <w:color w:val="000000"/>
      </w:rPr>
    </w:pPr>
    <w:r>
      <w:rPr>
        <w:rFonts w:cs="Times New Roman"/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-271779</wp:posOffset>
          </wp:positionH>
          <wp:positionV relativeFrom="topMargin">
            <wp:posOffset>453390</wp:posOffset>
          </wp:positionV>
          <wp:extent cx="2879725" cy="34163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79725" cy="341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4" w14:textId="77777777" w:rsidR="001D3E6A" w:rsidRDefault="001D3E6A">
    <w:pPr>
      <w:pBdr>
        <w:between w:val="nil"/>
      </w:pBdr>
      <w:tabs>
        <w:tab w:val="center" w:pos="4819"/>
        <w:tab w:val="right" w:pos="9638"/>
      </w:tabs>
      <w:spacing w:after="0" w:line="276" w:lineRule="auto"/>
      <w:jc w:val="right"/>
      <w:rPr>
        <w:rFonts w:ascii="Garamond" w:eastAsia="Garamond" w:hAnsi="Garamond" w:cs="Garamond"/>
        <w:b/>
        <w:color w:val="000000"/>
      </w:rPr>
    </w:pPr>
  </w:p>
  <w:p w14:paraId="00000015" w14:textId="77777777" w:rsidR="001D3E6A" w:rsidRDefault="001357A7">
    <w:pPr>
      <w:pBdr>
        <w:between w:val="nil"/>
      </w:pBdr>
      <w:tabs>
        <w:tab w:val="center" w:pos="4819"/>
        <w:tab w:val="right" w:pos="9638"/>
        <w:tab w:val="left" w:pos="3878"/>
      </w:tabs>
      <w:spacing w:after="0" w:line="276" w:lineRule="auto"/>
      <w:rPr>
        <w:rFonts w:ascii="Garamond" w:eastAsia="Garamond" w:hAnsi="Garamond" w:cs="Garamond"/>
        <w:b/>
        <w:color w:val="000000"/>
      </w:rPr>
    </w:pPr>
    <w:r>
      <w:rPr>
        <w:rFonts w:ascii="Garamond" w:eastAsia="Garamond" w:hAnsi="Garamond" w:cs="Garamond"/>
        <w:b/>
        <w:color w:val="000000"/>
      </w:rPr>
      <w:tab/>
    </w:r>
    <w:r>
      <w:rPr>
        <w:rFonts w:ascii="Garamond" w:eastAsia="Garamond" w:hAnsi="Garamond" w:cs="Garamond"/>
        <w:b/>
        <w:color w:val="000000"/>
      </w:rPr>
      <w:tab/>
    </w:r>
  </w:p>
  <w:p w14:paraId="00000016" w14:textId="77777777" w:rsidR="001D3E6A" w:rsidRDefault="001357A7">
    <w:pPr>
      <w:pBdr>
        <w:between w:val="nil"/>
      </w:pBdr>
      <w:tabs>
        <w:tab w:val="center" w:pos="4819"/>
        <w:tab w:val="right" w:pos="9638"/>
      </w:tabs>
      <w:spacing w:after="0" w:line="276" w:lineRule="auto"/>
      <w:jc w:val="right"/>
      <w:rPr>
        <w:rFonts w:ascii="Titillium" w:eastAsia="Titillium" w:hAnsi="Titillium" w:cs="Titillium"/>
        <w:b/>
        <w:color w:val="000000"/>
        <w:sz w:val="20"/>
        <w:szCs w:val="20"/>
      </w:rPr>
    </w:pPr>
    <w:r>
      <w:rPr>
        <w:rFonts w:ascii="Titillium" w:eastAsia="Titillium" w:hAnsi="Titillium" w:cs="Titillium"/>
        <w:b/>
        <w:color w:val="000000"/>
        <w:sz w:val="20"/>
        <w:szCs w:val="20"/>
      </w:rPr>
      <w:t>Allegato 3 alla delibera ANAC n. 294/2021</w:t>
    </w:r>
  </w:p>
  <w:p w14:paraId="00000017" w14:textId="77777777" w:rsidR="001D3E6A" w:rsidRDefault="001D3E6A">
    <w:pPr>
      <w:pBdr>
        <w:between w:val="nil"/>
      </w:pBdr>
      <w:tabs>
        <w:tab w:val="center" w:pos="4819"/>
        <w:tab w:val="right" w:pos="9638"/>
      </w:tabs>
      <w:spacing w:after="0" w:line="276" w:lineRule="auto"/>
      <w:jc w:val="right"/>
      <w:rPr>
        <w:rFonts w:ascii="Garamond" w:eastAsia="Garamond" w:hAnsi="Garamond" w:cs="Garamond"/>
        <w:b/>
        <w:color w:val="000000"/>
      </w:rPr>
    </w:pPr>
  </w:p>
  <w:p w14:paraId="00000018" w14:textId="77777777" w:rsidR="001D3E6A" w:rsidRDefault="001D3E6A">
    <w:pPr>
      <w:pBdr>
        <w:between w:val="nil"/>
      </w:pBdr>
      <w:tabs>
        <w:tab w:val="center" w:pos="4819"/>
        <w:tab w:val="right" w:pos="9638"/>
      </w:tabs>
      <w:spacing w:after="0" w:line="276" w:lineRule="auto"/>
      <w:jc w:val="right"/>
      <w:rPr>
        <w:rFonts w:ascii="Garamond" w:eastAsia="Garamond" w:hAnsi="Garamond" w:cs="Garamond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3715E7"/>
    <w:multiLevelType w:val="multilevel"/>
    <w:tmpl w:val="F11200CE"/>
    <w:lvl w:ilvl="0">
      <w:start w:val="1"/>
      <w:numFmt w:val="decimal"/>
      <w:pStyle w:val="Tito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6A"/>
    <w:rsid w:val="001357A7"/>
    <w:rsid w:val="001D3E6A"/>
    <w:rsid w:val="009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A0A50"/>
  <w15:docId w15:val="{A3DCC67F-72C1-844C-A09E-7E8950ED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keepNext/>
        <w:widowControl w:val="0"/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il"/>
        <w:left w:val="nil"/>
        <w:bottom w:val="nil"/>
        <w:right w:val="nil"/>
      </w:pBdr>
      <w:suppressAutoHyphens/>
      <w:spacing w:line="100" w:lineRule="atLeast"/>
    </w:pPr>
    <w:rPr>
      <w:rFonts w:cs="Cambria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Lines/>
      <w:spacing w:before="48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eastAsia="Calibri"/>
      <w:color w:val="000000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5w4ckKQo0oxc/B8y1iJ5s+tQvA==">AMUW2mXpq0cRADygSaEXyYLAkNtEluY9WaTZpCI2zQbvXZLjMYotawZd5Fuj6P0Y271UUDUvIC01Ol/Wjp1GaG13i8XLrFoVxXKKiK+SHu055G26w5iDjLk=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Resolve PC02</cp:lastModifiedBy>
  <cp:revision>2</cp:revision>
  <dcterms:created xsi:type="dcterms:W3CDTF">2013-12-19T15:41:00Z</dcterms:created>
  <dcterms:modified xsi:type="dcterms:W3CDTF">2021-06-28T15:39:00Z</dcterms:modified>
</cp:coreProperties>
</file>